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PSY1809 Presentation Handout</w:t>
      </w:r>
    </w:p>
    <w:p w:rsidR="00000000" w:rsidDel="00000000" w:rsidP="00000000" w:rsidRDefault="00000000" w:rsidRPr="00000000" w14:paraId="0000000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Victor Chen, Jenny Gan, Eileene Lee, Jennifer Near, Albert Shin</w:t>
      </w:r>
      <w:r w:rsidDel="00000000" w:rsidR="00000000" w:rsidRPr="00000000">
        <w:rPr>
          <w:rtl w:val="0"/>
        </w:rPr>
      </w:r>
    </w:p>
    <w:p w:rsidR="00000000" w:rsidDel="00000000" w:rsidP="00000000" w:rsidRDefault="00000000" w:rsidRPr="00000000" w14:paraId="00000003">
      <w:pPr>
        <w:spacing w:after="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widowControl w:val="0"/>
        <w:numPr>
          <w:ilvl w:val="0"/>
          <w:numId w:val="2"/>
        </w:numPr>
        <w:spacing w:after="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Increase student access to mindfulness apps</w:t>
      </w:r>
    </w:p>
    <w:p w:rsidR="00000000" w:rsidDel="00000000" w:rsidP="00000000" w:rsidRDefault="00000000" w:rsidRPr="00000000" w14:paraId="00000005">
      <w:pPr>
        <w:widowControl w:val="0"/>
        <w:spacing w:after="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Use of mindfulness apps (such as Headspace) have been associated with decreased depression and increased positive emotions. Due to these significant benefits, we recommend that the Harvard administration consider increasing access to these apps by providing subsidies or access free of charge. </w:t>
      </w:r>
    </w:p>
    <w:p w:rsidR="00000000" w:rsidDel="00000000" w:rsidP="00000000" w:rsidRDefault="00000000" w:rsidRPr="00000000" w14:paraId="00000006">
      <w:pPr>
        <w:widowControl w:val="0"/>
        <w:spacing w:after="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7">
      <w:pPr>
        <w:widowControl w:val="0"/>
        <w:numPr>
          <w:ilvl w:val="0"/>
          <w:numId w:val="1"/>
        </w:numPr>
        <w:spacing w:after="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 internal study that was published in the top mindfulness journal found that only 10 days of Headspace reduced stress by 14%. (Economides, Martman, Bell, et al. 2018)</w:t>
      </w:r>
    </w:p>
    <w:p w:rsidR="00000000" w:rsidDel="00000000" w:rsidP="00000000" w:rsidRDefault="00000000" w:rsidRPr="00000000" w14:paraId="00000008">
      <w:pPr>
        <w:widowControl w:val="0"/>
        <w:numPr>
          <w:ilvl w:val="0"/>
          <w:numId w:val="1"/>
        </w:numPr>
        <w:spacing w:after="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Separate studies conducted by Northeastern University found that 3 weeks of Headspace increased compassion by 23% and reduced aggression by 57%. In addition, an internal study found 10 days of Headspace reduced irritability by 27%. (Lim, Condon, DeSteno 2015)</w:t>
      </w:r>
    </w:p>
    <w:p w:rsidR="00000000" w:rsidDel="00000000" w:rsidP="00000000" w:rsidRDefault="00000000" w:rsidRPr="00000000" w14:paraId="00000009">
      <w:pPr>
        <w:widowControl w:val="0"/>
        <w:numPr>
          <w:ilvl w:val="0"/>
          <w:numId w:val="1"/>
        </w:numPr>
        <w:spacing w:after="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study with students found that just 10 days of Headspace increased positivity and well-being. (Howells, Ivtzan, Eiroa-Orosa 2016)</w:t>
      </w:r>
    </w:p>
    <w:p w:rsidR="00000000" w:rsidDel="00000000" w:rsidP="00000000" w:rsidRDefault="00000000" w:rsidRPr="00000000" w14:paraId="0000000A">
      <w:pPr>
        <w:widowControl w:val="0"/>
        <w:spacing w:after="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widowControl w:val="0"/>
        <w:numPr>
          <w:ilvl w:val="0"/>
          <w:numId w:val="2"/>
        </w:numPr>
        <w:spacing w:after="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Create a First-Generation Student Faculty Mentorship Program</w:t>
      </w:r>
    </w:p>
    <w:p w:rsidR="00000000" w:rsidDel="00000000" w:rsidP="00000000" w:rsidRDefault="00000000" w:rsidRPr="00000000" w14:paraId="0000000C">
      <w:pPr>
        <w:widowControl w:val="0"/>
        <w:spacing w:after="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Due to the increased stress FGLI students face in college, a First-generation Student Faculty Mentorship Program would help with the transition these students face when starting college. The program would provide targeted mentorship for FGLI students, pairing them with FGLI-identifying faculty members and providing them with support through regularly-scheduled meetings. </w:t>
      </w:r>
    </w:p>
    <w:p w:rsidR="00000000" w:rsidDel="00000000" w:rsidP="00000000" w:rsidRDefault="00000000" w:rsidRPr="00000000" w14:paraId="0000000D">
      <w:pPr>
        <w:widowControl w:val="0"/>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numPr>
          <w:ilvl w:val="0"/>
          <w:numId w:val="3"/>
        </w:numPr>
        <w:ind w:left="720" w:hanging="36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First-generation college students face higher amounts of stress because: </w:t>
      </w:r>
    </w:p>
    <w:p w:rsidR="00000000" w:rsidDel="00000000" w:rsidP="00000000" w:rsidRDefault="00000000" w:rsidRPr="00000000" w14:paraId="0000000F">
      <w:pPr>
        <w:widowControl w:val="0"/>
        <w:numPr>
          <w:ilvl w:val="1"/>
          <w:numId w:val="3"/>
        </w:numPr>
        <w:ind w:left="1440" w:hanging="360"/>
        <w:rPr>
          <w:color w:val="000000"/>
          <w:sz w:val="20"/>
          <w:szCs w:val="20"/>
        </w:rPr>
      </w:pPr>
      <w:r w:rsidDel="00000000" w:rsidR="00000000" w:rsidRPr="00000000">
        <w:rPr>
          <w:rFonts w:ascii="Times New Roman" w:cs="Times New Roman" w:eastAsia="Times New Roman" w:hAnsi="Times New Roman"/>
          <w:sz w:val="20"/>
          <w:szCs w:val="20"/>
          <w:rtl w:val="0"/>
        </w:rPr>
        <w:t xml:space="preserve">Wang and Castañeda-Sound (2008) found that FGLI students report </w:t>
      </w:r>
      <w:r w:rsidDel="00000000" w:rsidR="00000000" w:rsidRPr="00000000">
        <w:rPr>
          <w:rFonts w:ascii="Times New Roman" w:cs="Times New Roman" w:eastAsia="Times New Roman" w:hAnsi="Times New Roman"/>
          <w:b w:val="1"/>
          <w:sz w:val="20"/>
          <w:szCs w:val="20"/>
          <w:rtl w:val="0"/>
        </w:rPr>
        <w:t xml:space="preserve">lower levels in their confidence to succeed academically</w:t>
      </w:r>
      <w:r w:rsidDel="00000000" w:rsidR="00000000" w:rsidRPr="00000000">
        <w:rPr>
          <w:rFonts w:ascii="Times New Roman" w:cs="Times New Roman" w:eastAsia="Times New Roman" w:hAnsi="Times New Roman"/>
          <w:sz w:val="20"/>
          <w:szCs w:val="20"/>
          <w:rtl w:val="0"/>
        </w:rPr>
        <w:t xml:space="preserve">, negatively affecting these students’ overall psychological well-being. </w:t>
      </w:r>
    </w:p>
    <w:p w:rsidR="00000000" w:rsidDel="00000000" w:rsidP="00000000" w:rsidRDefault="00000000" w:rsidRPr="00000000" w14:paraId="00000010">
      <w:pPr>
        <w:widowControl w:val="0"/>
        <w:numPr>
          <w:ilvl w:val="1"/>
          <w:numId w:val="3"/>
        </w:numPr>
        <w:ind w:left="1440" w:hanging="360"/>
        <w:rPr>
          <w:color w:val="000000"/>
          <w:sz w:val="20"/>
          <w:szCs w:val="20"/>
        </w:rPr>
      </w:pPr>
      <w:r w:rsidDel="00000000" w:rsidR="00000000" w:rsidRPr="00000000">
        <w:rPr>
          <w:rFonts w:ascii="Times New Roman" w:cs="Times New Roman" w:eastAsia="Times New Roman" w:hAnsi="Times New Roman"/>
          <w:sz w:val="20"/>
          <w:szCs w:val="20"/>
          <w:rtl w:val="0"/>
        </w:rPr>
        <w:t xml:space="preserve">Newby-Fraser and Schlebusch (1997) found that in students, </w:t>
      </w:r>
      <w:r w:rsidDel="00000000" w:rsidR="00000000" w:rsidRPr="00000000">
        <w:rPr>
          <w:rFonts w:ascii="Times New Roman" w:cs="Times New Roman" w:eastAsia="Times New Roman" w:hAnsi="Times New Roman"/>
          <w:b w:val="1"/>
          <w:sz w:val="20"/>
          <w:szCs w:val="20"/>
          <w:rtl w:val="0"/>
        </w:rPr>
        <w:t xml:space="preserve">perceived absence of social support is associated with higher stress and lower academic performance.</w:t>
      </w:r>
    </w:p>
    <w:p w:rsidR="00000000" w:rsidDel="00000000" w:rsidP="00000000" w:rsidRDefault="00000000" w:rsidRPr="00000000" w14:paraId="00000011">
      <w:pPr>
        <w:widowControl w:val="0"/>
        <w:numPr>
          <w:ilvl w:val="0"/>
          <w:numId w:val="3"/>
        </w:numPr>
        <w:ind w:left="720" w:hanging="360"/>
        <w:rPr>
          <w:color w:val="000000"/>
          <w:sz w:val="20"/>
          <w:szCs w:val="20"/>
        </w:rPr>
      </w:pPr>
      <w:r w:rsidDel="00000000" w:rsidR="00000000" w:rsidRPr="00000000">
        <w:rPr>
          <w:rFonts w:ascii="Times New Roman" w:cs="Times New Roman" w:eastAsia="Times New Roman" w:hAnsi="Times New Roman"/>
          <w:b w:val="1"/>
          <w:sz w:val="20"/>
          <w:szCs w:val="20"/>
          <w:rtl w:val="0"/>
        </w:rPr>
        <w:t xml:space="preserve">Student Support Services </w:t>
      </w:r>
      <w:r w:rsidDel="00000000" w:rsidR="00000000" w:rsidRPr="00000000">
        <w:rPr>
          <w:rFonts w:ascii="Times New Roman" w:cs="Times New Roman" w:eastAsia="Times New Roman" w:hAnsi="Times New Roman"/>
          <w:sz w:val="20"/>
          <w:szCs w:val="20"/>
          <w:rtl w:val="0"/>
        </w:rPr>
        <w:t xml:space="preserve">Programs, similar to the proposed mentorship program, have been shown by the U.S. Department of Education (2010)  to increase students’ freshman year retention and degree completion, with best practices including academic support and programming/mentorship activities related to a student’s first year</w:t>
      </w:r>
    </w:p>
    <w:p w:rsidR="00000000" w:rsidDel="00000000" w:rsidP="00000000" w:rsidRDefault="00000000" w:rsidRPr="00000000" w14:paraId="00000012">
      <w:pPr>
        <w:widowControl w:val="0"/>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widowControl w:val="0"/>
        <w:numPr>
          <w:ilvl w:val="0"/>
          <w:numId w:val="2"/>
        </w:numPr>
        <w:spacing w:after="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Combat “Busy Culture” on campus among the student body</w:t>
      </w:r>
    </w:p>
    <w:p w:rsidR="00000000" w:rsidDel="00000000" w:rsidP="00000000" w:rsidRDefault="00000000" w:rsidRPr="00000000" w14:paraId="00000014">
      <w:pPr>
        <w:widowControl w:val="0"/>
        <w:spacing w:after="0" w:lineRule="auto"/>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Modern-day society has run rampant with “busy culture” or the belief that we should be busy at all times, which leads to significant stress. In order to combat this, we recommend that incoming students are required to complete a stress/responsibility management workshop.</w:t>
      </w:r>
    </w:p>
    <w:p w:rsidR="00000000" w:rsidDel="00000000" w:rsidP="00000000" w:rsidRDefault="00000000" w:rsidRPr="00000000" w14:paraId="00000015">
      <w:pPr>
        <w:widowControl w:val="0"/>
        <w:spacing w:after="0" w:lineRule="auto"/>
        <w:ind w:left="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6">
      <w:pPr>
        <w:numPr>
          <w:ilvl w:val="0"/>
          <w:numId w:val="4"/>
        </w:numPr>
        <w:spacing w:after="0" w:lineRule="auto"/>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type of student that goes to Harvard is typically high-achieving and goal-oriented, which is associated with higher levels of overcommitment and the personality trait neuroticism </w:t>
      </w:r>
      <w:r w:rsidDel="00000000" w:rsidR="00000000" w:rsidRPr="00000000">
        <w:rPr>
          <w:rFonts w:ascii="Times" w:cs="Times" w:eastAsia="Times" w:hAnsi="Times"/>
          <w:sz w:val="20"/>
          <w:szCs w:val="20"/>
          <w:rtl w:val="0"/>
        </w:rPr>
        <w:t xml:space="preserve">(Hetland et al., 2012).</w:t>
      </w:r>
    </w:p>
    <w:p w:rsidR="00000000" w:rsidDel="00000000" w:rsidP="00000000" w:rsidRDefault="00000000" w:rsidRPr="00000000" w14:paraId="00000017">
      <w:pPr>
        <w:numPr>
          <w:ilvl w:val="0"/>
          <w:numId w:val="4"/>
        </w:numPr>
        <w:spacing w:after="0" w:lineRule="auto"/>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Overcommitment leads to increased stress, which leads to vital exhaustion (increased heart problems) and other poor physical and mental health outcomes </w:t>
      </w:r>
      <w:r w:rsidDel="00000000" w:rsidR="00000000" w:rsidRPr="00000000">
        <w:rPr>
          <w:rFonts w:ascii="Times" w:cs="Times" w:eastAsia="Times" w:hAnsi="Times"/>
          <w:sz w:val="20"/>
          <w:szCs w:val="20"/>
          <w:rtl w:val="0"/>
        </w:rPr>
        <w:t xml:space="preserve">(Preckel et al., 2005).</w:t>
      </w:r>
    </w:p>
    <w:p w:rsidR="00000000" w:rsidDel="00000000" w:rsidP="00000000" w:rsidRDefault="00000000" w:rsidRPr="00000000" w14:paraId="00000018">
      <w:pPr>
        <w:numPr>
          <w:ilvl w:val="0"/>
          <w:numId w:val="4"/>
        </w:numPr>
        <w:spacing w:after="0" w:lineRule="auto"/>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need to work on equipping students with the tools needed to mitigate stress, such as knowledge about stress reappraisal and other methods we learn about in this class, along with making students well aware about the dangers of overcommitment</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ime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right"/>
      <w:pPr>
        <w:ind w:left="720" w:hanging="360"/>
      </w:pPr>
      <w:rPr>
        <w:rFonts w:ascii="Open Sans" w:cs="Open Sans" w:eastAsia="Open Sans" w:hAnsi="Open Sans"/>
        <w:b w:val="0"/>
        <w:i w:val="0"/>
        <w:smallCaps w:val="0"/>
        <w:strike w:val="0"/>
        <w:color w:val="695d46"/>
        <w:sz w:val="36"/>
        <w:szCs w:val="36"/>
        <w:u w:val="none"/>
        <w:shd w:fill="auto" w:val="clear"/>
        <w:vertAlign w:val="baseline"/>
      </w:rPr>
    </w:lvl>
    <w:lvl w:ilvl="1">
      <w:start w:val="1"/>
      <w:numFmt w:val="bullet"/>
      <w:lvlText w:val="○"/>
      <w:lvlJc w:val="right"/>
      <w:pPr>
        <w:ind w:left="1440" w:hanging="360"/>
      </w:pPr>
      <w:rPr>
        <w:rFonts w:ascii="Open Sans" w:cs="Open Sans" w:eastAsia="Open Sans" w:hAnsi="Open Sans"/>
        <w:b w:val="0"/>
        <w:i w:val="0"/>
        <w:smallCaps w:val="0"/>
        <w:strike w:val="0"/>
        <w:color w:val="695d46"/>
        <w:sz w:val="28"/>
        <w:szCs w:val="28"/>
        <w:u w:val="none"/>
        <w:shd w:fill="auto" w:val="clear"/>
        <w:vertAlign w:val="baseline"/>
      </w:rPr>
    </w:lvl>
    <w:lvl w:ilvl="2">
      <w:start w:val="1"/>
      <w:numFmt w:val="bullet"/>
      <w:lvlText w:val="■"/>
      <w:lvlJc w:val="right"/>
      <w:pPr>
        <w:ind w:left="2160" w:hanging="360"/>
      </w:pPr>
      <w:rPr>
        <w:rFonts w:ascii="Open Sans" w:cs="Open Sans" w:eastAsia="Open Sans" w:hAnsi="Open Sans"/>
        <w:b w:val="0"/>
        <w:i w:val="0"/>
        <w:smallCaps w:val="0"/>
        <w:strike w:val="0"/>
        <w:color w:val="695d46"/>
        <w:sz w:val="28"/>
        <w:szCs w:val="28"/>
        <w:u w:val="none"/>
        <w:shd w:fill="auto" w:val="clear"/>
        <w:vertAlign w:val="baseline"/>
      </w:rPr>
    </w:lvl>
    <w:lvl w:ilvl="3">
      <w:start w:val="1"/>
      <w:numFmt w:val="bullet"/>
      <w:lvlText w:val="●"/>
      <w:lvlJc w:val="right"/>
      <w:pPr>
        <w:ind w:left="2880" w:hanging="360"/>
      </w:pPr>
      <w:rPr>
        <w:rFonts w:ascii="Open Sans" w:cs="Open Sans" w:eastAsia="Open Sans" w:hAnsi="Open Sans"/>
        <w:b w:val="0"/>
        <w:i w:val="0"/>
        <w:smallCaps w:val="0"/>
        <w:strike w:val="0"/>
        <w:color w:val="695d46"/>
        <w:sz w:val="28"/>
        <w:szCs w:val="28"/>
        <w:u w:val="none"/>
        <w:shd w:fill="auto" w:val="clear"/>
        <w:vertAlign w:val="baseline"/>
      </w:rPr>
    </w:lvl>
    <w:lvl w:ilvl="4">
      <w:start w:val="1"/>
      <w:numFmt w:val="bullet"/>
      <w:lvlText w:val="○"/>
      <w:lvlJc w:val="right"/>
      <w:pPr>
        <w:ind w:left="3600" w:hanging="360"/>
      </w:pPr>
      <w:rPr>
        <w:rFonts w:ascii="Open Sans" w:cs="Open Sans" w:eastAsia="Open Sans" w:hAnsi="Open Sans"/>
        <w:b w:val="0"/>
        <w:i w:val="0"/>
        <w:smallCaps w:val="0"/>
        <w:strike w:val="0"/>
        <w:color w:val="695d46"/>
        <w:sz w:val="28"/>
        <w:szCs w:val="28"/>
        <w:u w:val="none"/>
        <w:shd w:fill="auto" w:val="clear"/>
        <w:vertAlign w:val="baseline"/>
      </w:rPr>
    </w:lvl>
    <w:lvl w:ilvl="5">
      <w:start w:val="1"/>
      <w:numFmt w:val="bullet"/>
      <w:lvlText w:val="■"/>
      <w:lvlJc w:val="right"/>
      <w:pPr>
        <w:ind w:left="4320" w:hanging="360"/>
      </w:pPr>
      <w:rPr>
        <w:rFonts w:ascii="Open Sans" w:cs="Open Sans" w:eastAsia="Open Sans" w:hAnsi="Open Sans"/>
        <w:b w:val="0"/>
        <w:i w:val="0"/>
        <w:smallCaps w:val="0"/>
        <w:strike w:val="0"/>
        <w:color w:val="695d46"/>
        <w:sz w:val="28"/>
        <w:szCs w:val="28"/>
        <w:u w:val="none"/>
        <w:shd w:fill="auto" w:val="clear"/>
        <w:vertAlign w:val="baseline"/>
      </w:rPr>
    </w:lvl>
    <w:lvl w:ilvl="6">
      <w:start w:val="1"/>
      <w:numFmt w:val="bullet"/>
      <w:lvlText w:val="●"/>
      <w:lvlJc w:val="right"/>
      <w:pPr>
        <w:ind w:left="5040" w:hanging="360"/>
      </w:pPr>
      <w:rPr>
        <w:rFonts w:ascii="Open Sans" w:cs="Open Sans" w:eastAsia="Open Sans" w:hAnsi="Open Sans"/>
        <w:b w:val="0"/>
        <w:i w:val="0"/>
        <w:smallCaps w:val="0"/>
        <w:strike w:val="0"/>
        <w:color w:val="695d46"/>
        <w:sz w:val="28"/>
        <w:szCs w:val="28"/>
        <w:u w:val="none"/>
        <w:shd w:fill="auto" w:val="clear"/>
        <w:vertAlign w:val="baseline"/>
      </w:rPr>
    </w:lvl>
    <w:lvl w:ilvl="7">
      <w:start w:val="1"/>
      <w:numFmt w:val="bullet"/>
      <w:lvlText w:val="○"/>
      <w:lvlJc w:val="right"/>
      <w:pPr>
        <w:ind w:left="5760" w:hanging="360"/>
      </w:pPr>
      <w:rPr>
        <w:rFonts w:ascii="Open Sans" w:cs="Open Sans" w:eastAsia="Open Sans" w:hAnsi="Open Sans"/>
        <w:b w:val="0"/>
        <w:i w:val="0"/>
        <w:smallCaps w:val="0"/>
        <w:strike w:val="0"/>
        <w:color w:val="695d46"/>
        <w:sz w:val="28"/>
        <w:szCs w:val="28"/>
        <w:u w:val="none"/>
        <w:shd w:fill="auto" w:val="clear"/>
        <w:vertAlign w:val="baseline"/>
      </w:rPr>
    </w:lvl>
    <w:lvl w:ilvl="8">
      <w:start w:val="1"/>
      <w:numFmt w:val="bullet"/>
      <w:lvlText w:val="■"/>
      <w:lvlJc w:val="right"/>
      <w:pPr>
        <w:ind w:left="6480" w:hanging="360"/>
      </w:pPr>
      <w:rPr>
        <w:rFonts w:ascii="Open Sans" w:cs="Open Sans" w:eastAsia="Open Sans" w:hAnsi="Open Sans"/>
        <w:b w:val="0"/>
        <w:i w:val="0"/>
        <w:smallCaps w:val="0"/>
        <w:strike w:val="0"/>
        <w:color w:val="695d46"/>
        <w:sz w:val="28"/>
        <w:szCs w:val="28"/>
        <w:u w:val="none"/>
        <w:shd w:fill="auto" w:val="clear"/>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